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74" w:rsidRPr="008660EF" w:rsidRDefault="009D5674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 w:rsidRPr="008660EF">
        <w:rPr>
          <w:rFonts w:ascii="Calibri" w:hAnsi="Calibri" w:cs="Calibri"/>
          <w:b/>
          <w:sz w:val="48"/>
          <w:szCs w:val="48"/>
        </w:rPr>
        <w:t>Výukový materiál projektu</w:t>
      </w:r>
      <w:r w:rsidRPr="008660EF">
        <w:rPr>
          <w:rFonts w:ascii="Calibri" w:hAnsi="Calibri" w:cs="Calibri"/>
          <w:b/>
          <w:sz w:val="48"/>
          <w:szCs w:val="48"/>
        </w:rPr>
        <w:br/>
        <w:t>„Dejme zelenou aplikované chemii“</w:t>
      </w:r>
      <w:r w:rsidRPr="008660EF">
        <w:rPr>
          <w:rFonts w:ascii="Calibri" w:hAnsi="Calibri" w:cs="Calibri"/>
          <w:b/>
          <w:sz w:val="48"/>
          <w:szCs w:val="48"/>
        </w:rPr>
        <w:br/>
        <w:t>(CZ.1.07/1.1.24/01.0006)</w:t>
      </w:r>
    </w:p>
    <w:p w:rsidR="009D5674" w:rsidRPr="008660EF" w:rsidRDefault="009D5674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Audiořetězec - ozvučení</w:t>
      </w:r>
    </w:p>
    <w:p w:rsidR="009D5674" w:rsidRDefault="009D5674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 xml:space="preserve">Mgr. </w:t>
      </w:r>
      <w:bookmarkStart w:id="0" w:name="_GoBack"/>
      <w:bookmarkEnd w:id="0"/>
      <w:r>
        <w:rPr>
          <w:rFonts w:ascii="Calibri" w:hAnsi="Calibri" w:cs="Calibri"/>
          <w:b/>
          <w:sz w:val="48"/>
          <w:szCs w:val="48"/>
        </w:rPr>
        <w:t>Ing. Pavel Míka, 2013</w:t>
      </w:r>
    </w:p>
    <w:p w:rsidR="009D5674" w:rsidRDefault="009D5674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</w:p>
    <w:p w:rsidR="009D5674" w:rsidRDefault="009D5674" w:rsidP="004E6494">
      <w:pPr>
        <w:pStyle w:val="Heading1"/>
      </w:pPr>
    </w:p>
    <w:p w:rsidR="009D5674" w:rsidRPr="003916C0" w:rsidRDefault="009D5674" w:rsidP="004E6494">
      <w:pPr>
        <w:pStyle w:val="Heading1"/>
      </w:pPr>
      <w:r>
        <w:t>Obecná pravidla pro práci</w:t>
      </w:r>
      <w:r w:rsidRPr="003916C0">
        <w:t>:</w:t>
      </w:r>
    </w:p>
    <w:p w:rsidR="009D5674" w:rsidRPr="003916C0" w:rsidRDefault="009D5674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Jednotlivá měření</w:t>
      </w:r>
      <w:r w:rsidRPr="003916C0">
        <w:rPr>
          <w:sz w:val="24"/>
          <w:szCs w:val="24"/>
        </w:rPr>
        <w:t xml:space="preserve"> vždy připravte, nechte schválit vyučujícím a pak </w:t>
      </w:r>
      <w:r>
        <w:rPr>
          <w:sz w:val="24"/>
          <w:szCs w:val="24"/>
        </w:rPr>
        <w:t xml:space="preserve">s ním </w:t>
      </w:r>
      <w:r w:rsidRPr="003916C0">
        <w:rPr>
          <w:sz w:val="24"/>
          <w:szCs w:val="24"/>
        </w:rPr>
        <w:t>zapněte!</w:t>
      </w:r>
    </w:p>
    <w:p w:rsidR="009D5674" w:rsidRPr="003916C0" w:rsidRDefault="009D5674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Pracujte s manuály použitých přístrojů, se štítkovými údaji</w:t>
      </w:r>
      <w:r w:rsidRPr="003916C0">
        <w:rPr>
          <w:sz w:val="24"/>
          <w:szCs w:val="24"/>
        </w:rPr>
        <w:t>!</w:t>
      </w:r>
    </w:p>
    <w:p w:rsidR="009D5674" w:rsidRPr="003916C0" w:rsidRDefault="009D5674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 Princip vycházejte</w:t>
      </w:r>
      <w:r w:rsidRPr="003916C0">
        <w:rPr>
          <w:sz w:val="24"/>
          <w:szCs w:val="24"/>
        </w:rPr>
        <w:t xml:space="preserve"> </w:t>
      </w:r>
      <w:r>
        <w:rPr>
          <w:sz w:val="24"/>
          <w:szCs w:val="24"/>
        </w:rPr>
        <w:t>z učebnic</w:t>
      </w:r>
      <w:r w:rsidRPr="003916C0">
        <w:rPr>
          <w:sz w:val="24"/>
          <w:szCs w:val="24"/>
        </w:rPr>
        <w:t xml:space="preserve"> Fyziky, Elektrotechniky</w:t>
      </w:r>
      <w:r>
        <w:rPr>
          <w:sz w:val="24"/>
          <w:szCs w:val="24"/>
        </w:rPr>
        <w:t xml:space="preserve"> ev.</w:t>
      </w:r>
      <w:r w:rsidRPr="003916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jiných </w:t>
      </w:r>
      <w:r w:rsidRPr="003916C0">
        <w:rPr>
          <w:sz w:val="24"/>
          <w:szCs w:val="24"/>
        </w:rPr>
        <w:t>citovaných zdrojů.</w:t>
      </w:r>
    </w:p>
    <w:p w:rsidR="009D5674" w:rsidRDefault="009D5674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916C0">
        <w:rPr>
          <w:sz w:val="24"/>
          <w:szCs w:val="24"/>
        </w:rPr>
        <w:t>U každého měření bude schéma zapojení</w:t>
      </w:r>
      <w:r>
        <w:rPr>
          <w:sz w:val="24"/>
          <w:szCs w:val="24"/>
        </w:rPr>
        <w:t xml:space="preserve"> a náčrtek (od ruky, tužkou)</w:t>
      </w:r>
      <w:r w:rsidRPr="003916C0">
        <w:rPr>
          <w:sz w:val="24"/>
          <w:szCs w:val="24"/>
        </w:rPr>
        <w:t>.</w:t>
      </w:r>
    </w:p>
    <w:p w:rsidR="009D5674" w:rsidRPr="003916C0" w:rsidRDefault="009D5674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Protokol je zpracován ručně, písmo hůlkové, propisovačkou. Grafy, tabulky, schemata, náčrtky tužkou.</w:t>
      </w:r>
    </w:p>
    <w:p w:rsidR="009D5674" w:rsidRPr="003916C0" w:rsidRDefault="009D5674" w:rsidP="00265555">
      <w:pPr>
        <w:pStyle w:val="ListParagraph"/>
        <w:pBdr>
          <w:bottom w:val="single" w:sz="4" w:space="1" w:color="auto"/>
        </w:pBdr>
        <w:ind w:left="360"/>
        <w:rPr>
          <w:sz w:val="24"/>
          <w:szCs w:val="24"/>
        </w:rPr>
      </w:pPr>
    </w:p>
    <w:p w:rsidR="009D5674" w:rsidRPr="000A2BC5" w:rsidRDefault="009D5674" w:rsidP="000A2BC5">
      <w:pPr>
        <w:pStyle w:val="Heading1"/>
      </w:pPr>
      <w:r>
        <w:t>Název úlohy: Audiořetězec - ozvučení</w:t>
      </w:r>
    </w:p>
    <w:p w:rsidR="009D5674" w:rsidRPr="001F08A3" w:rsidRDefault="009D5674" w:rsidP="001F08A3">
      <w:pPr>
        <w:pStyle w:val="Heading2"/>
      </w:pPr>
      <w:r>
        <w:t>Princip:</w:t>
      </w:r>
    </w:p>
    <w:p w:rsidR="009D5674" w:rsidRDefault="009D5674" w:rsidP="004E6494">
      <w:r>
        <w:t xml:space="preserve">Ozvučením prostoru (třída, obývak, nádraží, hřiště, kino, supermarket aj) rozumíme technické prostředky pro snímání zvuku z mikrofonu a reprodukci  audiozáznamu z různých medií. Kromě toho rozhoduje velikost prostoru (výkon zesilovače a výkon a počet reprosoustav). </w:t>
      </w:r>
    </w:p>
    <w:p w:rsidR="009D5674" w:rsidRDefault="009D5674" w:rsidP="004E6494">
      <w:pPr>
        <w:pStyle w:val="Heading2"/>
      </w:pPr>
      <w:r>
        <w:t>Zadání:</w:t>
      </w:r>
    </w:p>
    <w:p w:rsidR="009D5674" w:rsidRDefault="009D5674" w:rsidP="003C0829">
      <w:pPr>
        <w:ind w:left="360"/>
      </w:pPr>
      <w:r>
        <w:t>Zapojte základní audiořetězec pro ozvučení konference v klubovně školy. Popište jednotlivé komponenty - k čemu slouží a jaké mají  vlastnosti (včetně kabelů a jejich konektorů).</w:t>
      </w:r>
    </w:p>
    <w:p w:rsidR="009D5674" w:rsidRDefault="009D5674" w:rsidP="0092666A">
      <w:pPr>
        <w:pStyle w:val="Heading2"/>
      </w:pPr>
      <w:r>
        <w:t xml:space="preserve">Pomůcky: </w:t>
      </w:r>
      <w:r>
        <w:rPr>
          <w:b w:val="0"/>
          <w:color w:val="333333"/>
        </w:rPr>
        <w:t>(zde příklady, uveďte dle skutečnosti)</w:t>
      </w:r>
    </w:p>
    <w:p w:rsidR="009D5674" w:rsidRDefault="009D5674" w:rsidP="00AA70DE">
      <w:pPr>
        <w:pStyle w:val="ListParagraph"/>
        <w:ind w:left="360"/>
      </w:pPr>
      <w:r>
        <w:t xml:space="preserve">Mikrofon . . . (typ, parametry), reproduktorový systém (tj. aktivní reprobedny, tj. reprobedny s vestavěným stereozesilovačem - opět typ, parametry), zdroje signálu rádioveho (tuner nebo MP3 nebo mobilní telefon) a hudby MP3 (obdobně), tónový generátor, Hz-metr (též zvaný kmitoměr), </w:t>
      </w:r>
    </w:p>
    <w:p w:rsidR="009D5674" w:rsidRDefault="009D5674" w:rsidP="00AA70DE">
      <w:pPr>
        <w:pStyle w:val="ListParagraph"/>
        <w:ind w:left="360"/>
      </w:pPr>
      <w:r>
        <w:t>střídavý V-metr.</w:t>
      </w:r>
    </w:p>
    <w:p w:rsidR="009D5674" w:rsidRDefault="009D5674" w:rsidP="00AA70DE">
      <w:pPr>
        <w:pStyle w:val="ListParagraph"/>
        <w:ind w:left="360"/>
      </w:pPr>
      <w:r>
        <w:t>Pozn.: jednotlivé signály se obvykle spojují - míchají v mixážním pultu, zde lze mixovat dva mikrofony a externí zdroj přímo v repro systému.</w:t>
      </w:r>
    </w:p>
    <w:p w:rsidR="009D5674" w:rsidRDefault="009D5674" w:rsidP="0092666A">
      <w:pPr>
        <w:pStyle w:val="Heading2"/>
      </w:pPr>
      <w:r w:rsidRPr="00BD2D90">
        <w:t>Postup</w:t>
      </w:r>
      <w:r>
        <w:t>:</w:t>
      </w:r>
    </w:p>
    <w:p w:rsidR="009D5674" w:rsidRPr="00245497" w:rsidRDefault="009D5674" w:rsidP="001453AF">
      <w:pPr>
        <w:pStyle w:val="ListParagraph"/>
        <w:ind w:left="360"/>
      </w:pPr>
      <w:r w:rsidRPr="00245497">
        <w:t>Vysvětlete pojmy</w:t>
      </w:r>
    </w:p>
    <w:p w:rsidR="009D5674" w:rsidRPr="00245497" w:rsidRDefault="009D5674" w:rsidP="001453AF">
      <w:pPr>
        <w:pStyle w:val="ListParagraph"/>
        <w:ind w:left="360"/>
      </w:pPr>
      <w:r w:rsidRPr="00245497">
        <w:t>- u rozhlasového vysílání: RDS - konkrétně ve vašem mobilu a autorádiu</w:t>
      </w:r>
    </w:p>
    <w:p w:rsidR="009D5674" w:rsidRDefault="009D5674" w:rsidP="001453AF">
      <w:pPr>
        <w:pStyle w:val="ListParagraph"/>
        <w:ind w:left="360"/>
      </w:pPr>
      <w:r w:rsidRPr="00245497">
        <w:t>- u zesilovače</w:t>
      </w:r>
      <w:r>
        <w:t>:</w:t>
      </w:r>
      <w:r w:rsidRPr="00245497">
        <w:t xml:space="preserve"> R.M.S. Root Mean Square</w:t>
      </w:r>
    </w:p>
    <w:p w:rsidR="009D5674" w:rsidRDefault="009D5674" w:rsidP="001453AF">
      <w:pPr>
        <w:pStyle w:val="ListParagraph"/>
        <w:ind w:left="360"/>
      </w:pPr>
      <w:r>
        <w:t>- u reproduktorové soustavy: - dvou, tří, čtyřpásmová</w:t>
      </w:r>
    </w:p>
    <w:p w:rsidR="009D5674" w:rsidRDefault="009D5674" w:rsidP="001453AF">
      <w:pPr>
        <w:pStyle w:val="ListParagraph"/>
        <w:ind w:left="360"/>
      </w:pPr>
      <w:r>
        <w:t xml:space="preserve">                                                         - 2.1  3.1  4.1  5.1</w:t>
      </w:r>
    </w:p>
    <w:p w:rsidR="009D5674" w:rsidRDefault="009D5674" w:rsidP="001453AF">
      <w:pPr>
        <w:pStyle w:val="ListParagraph"/>
        <w:ind w:left="360"/>
      </w:pPr>
      <w:r>
        <w:t xml:space="preserve">                                                         - subwoofer</w:t>
      </w:r>
    </w:p>
    <w:p w:rsidR="009D5674" w:rsidRDefault="009D5674" w:rsidP="001453AF">
      <w:pPr>
        <w:pStyle w:val="ListParagraph"/>
        <w:ind w:left="360"/>
      </w:pPr>
      <w:r>
        <w:t xml:space="preserve">                                                         - tweeter</w:t>
      </w:r>
    </w:p>
    <w:p w:rsidR="009D5674" w:rsidRDefault="009D5674" w:rsidP="001453AF">
      <w:pPr>
        <w:pStyle w:val="ListParagraph"/>
        <w:ind w:left="360"/>
      </w:pPr>
      <w:r>
        <w:t xml:space="preserve">                                                         - combo</w:t>
      </w:r>
    </w:p>
    <w:p w:rsidR="009D5674" w:rsidRPr="00245497" w:rsidRDefault="009D5674" w:rsidP="001453AF">
      <w:pPr>
        <w:pStyle w:val="ListParagraph"/>
        <w:ind w:left="360"/>
      </w:pPr>
      <w:r>
        <w:t>- u mikrofonu: citlivost a směrová charakteristika</w:t>
      </w:r>
    </w:p>
    <w:p w:rsidR="009D5674" w:rsidRPr="00245497" w:rsidRDefault="009D5674" w:rsidP="001453AF">
      <w:pPr>
        <w:pStyle w:val="ListParagraph"/>
        <w:ind w:left="360"/>
      </w:pPr>
      <w:r w:rsidRPr="00245497">
        <w:t xml:space="preserve">- stereo </w:t>
      </w:r>
    </w:p>
    <w:p w:rsidR="009D5674" w:rsidRPr="00245497" w:rsidRDefault="009D5674" w:rsidP="001453AF">
      <w:pPr>
        <w:pStyle w:val="ListParagraph"/>
        <w:ind w:left="360"/>
      </w:pPr>
      <w:r w:rsidRPr="00245497">
        <w:t>- ekvalizér</w:t>
      </w:r>
    </w:p>
    <w:p w:rsidR="009D5674" w:rsidRPr="00245497" w:rsidRDefault="009D5674" w:rsidP="001453AF">
      <w:pPr>
        <w:pStyle w:val="ListParagraph"/>
        <w:ind w:left="360"/>
      </w:pPr>
      <w:r w:rsidRPr="00245497">
        <w:t>- Hi-Fi</w:t>
      </w:r>
    </w:p>
    <w:p w:rsidR="009D5674" w:rsidRDefault="009D5674" w:rsidP="001453AF">
      <w:pPr>
        <w:pStyle w:val="ListParagraph"/>
        <w:ind w:left="360"/>
      </w:pPr>
      <w:r w:rsidRPr="00245497">
        <w:t>- dolby</w:t>
      </w:r>
      <w:r>
        <w:t>, ev. další, se kterými jste se setkal/a</w:t>
      </w:r>
    </w:p>
    <w:p w:rsidR="009D5674" w:rsidRDefault="009D5674" w:rsidP="001453AF">
      <w:pPr>
        <w:pStyle w:val="ListParagraph"/>
        <w:ind w:left="360"/>
      </w:pPr>
    </w:p>
    <w:p w:rsidR="009D5674" w:rsidRDefault="009D5674" w:rsidP="001453AF">
      <w:pPr>
        <w:pStyle w:val="ListParagraph"/>
        <w:ind w:left="360"/>
      </w:pPr>
      <w:r>
        <w:t>1. Prostudujte návod soustavy Redstar, naučte se ji ovládat na panelu i dálkovým ovládáním</w:t>
      </w:r>
    </w:p>
    <w:p w:rsidR="009D5674" w:rsidRDefault="009D5674" w:rsidP="001453AF">
      <w:pPr>
        <w:pStyle w:val="ListParagraph"/>
        <w:ind w:left="360"/>
      </w:pPr>
    </w:p>
    <w:p w:rsidR="009D5674" w:rsidRDefault="009D5674" w:rsidP="001453AF">
      <w:pPr>
        <w:pStyle w:val="ListParagraph"/>
        <w:ind w:left="360"/>
      </w:pPr>
      <w:r>
        <w:t xml:space="preserve">2. Sestavte audiořetězec tak, aby jste mohli reprodukovat (v přiměřené hlasitosti a s optimálním nastavením ekvalizéru) všechny výše uvedené signály. Zkuste na začátek pustit hudbu, pak ji "stáhnout" a přidat mluvené slovo. </w:t>
      </w:r>
    </w:p>
    <w:p w:rsidR="009D5674" w:rsidRDefault="009D5674" w:rsidP="001453AF">
      <w:pPr>
        <w:pStyle w:val="ListParagraph"/>
        <w:ind w:left="360"/>
      </w:pPr>
    </w:p>
    <w:p w:rsidR="009D5674" w:rsidRDefault="009D5674" w:rsidP="001453AF">
      <w:pPr>
        <w:pStyle w:val="ListParagraph"/>
        <w:ind w:left="360"/>
      </w:pPr>
      <w:r>
        <w:t>3. Na vstup připojujte různé frekvence z tónového generátoru a sledujte, zda audiořetězec dobře zvládá i nízké i vysoké frekvence (v rozsahu slyšitelnosti lidským uchem - zda jsou slyšet a zda nejsou zkreslené). Na výstup připojte kmitoměr (měřič frekvence) a sledujte, zda frekvence souhlasí.</w:t>
      </w:r>
    </w:p>
    <w:p w:rsidR="009D5674" w:rsidRDefault="009D5674" w:rsidP="001453AF">
      <w:pPr>
        <w:pStyle w:val="ListParagraph"/>
        <w:ind w:left="360"/>
      </w:pPr>
    </w:p>
    <w:p w:rsidR="009D5674" w:rsidRDefault="009D5674" w:rsidP="001453AF">
      <w:pPr>
        <w:pStyle w:val="ListParagraph"/>
        <w:ind w:left="360"/>
      </w:pPr>
      <w:r>
        <w:t>4. Při některé z frekvencí (např. 1 kHz) zmšřte na výstupu napěti (samozřejmě je střídavé) a z parametrů reprosoustavy vypočítejte výkon ( P = U . I    I = U / Z ). Jak moc/málo byly zesilovač a reproduktory vytíženy?</w:t>
      </w:r>
    </w:p>
    <w:p w:rsidR="009D5674" w:rsidRDefault="009D5674" w:rsidP="001453AF">
      <w:pPr>
        <w:pStyle w:val="ListParagraph"/>
        <w:ind w:left="360"/>
      </w:pPr>
    </w:p>
    <w:p w:rsidR="009D5674" w:rsidRDefault="009D5674" w:rsidP="001453AF">
      <w:pPr>
        <w:pStyle w:val="ListParagraph"/>
        <w:ind w:left="360"/>
      </w:pPr>
      <w:r>
        <w:t>5. Připojte audiosignál z notebooku.</w:t>
      </w:r>
    </w:p>
    <w:p w:rsidR="009D5674" w:rsidRPr="000D29E5" w:rsidRDefault="009D5674" w:rsidP="00043332">
      <w:pPr>
        <w:pStyle w:val="Heading2"/>
        <w:rPr>
          <w:b w:val="0"/>
          <w:color w:val="333333"/>
        </w:rPr>
      </w:pPr>
      <w:r>
        <w:t xml:space="preserve">Náčrtek: </w:t>
      </w:r>
      <w:r>
        <w:rPr>
          <w:b w:val="0"/>
          <w:color w:val="333333"/>
        </w:rPr>
        <w:t>Aparatura</w:t>
      </w:r>
      <w:r>
        <w:t xml:space="preserve">                                       Náčrtky: </w:t>
      </w:r>
      <w:r>
        <w:rPr>
          <w:b w:val="0"/>
          <w:color w:val="333333"/>
        </w:rPr>
        <w:t>Konektory - tvary, názvy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4"/>
        <w:gridCol w:w="4374"/>
      </w:tblGrid>
      <w:tr w:rsidR="009D5674" w:rsidTr="001450DB">
        <w:trPr>
          <w:trHeight w:val="5384"/>
        </w:trPr>
        <w:tc>
          <w:tcPr>
            <w:tcW w:w="4374" w:type="dxa"/>
          </w:tcPr>
          <w:p w:rsidR="009D5674" w:rsidRDefault="009D5674" w:rsidP="004C68E9">
            <w:pPr>
              <w:pStyle w:val="ListParagraph"/>
              <w:ind w:left="0"/>
            </w:pPr>
          </w:p>
        </w:tc>
        <w:tc>
          <w:tcPr>
            <w:tcW w:w="4374" w:type="dxa"/>
          </w:tcPr>
          <w:p w:rsidR="009D5674" w:rsidRDefault="009D5674" w:rsidP="004C68E9">
            <w:pPr>
              <w:pStyle w:val="ListParagraph"/>
              <w:ind w:left="0"/>
            </w:pPr>
          </w:p>
        </w:tc>
      </w:tr>
    </w:tbl>
    <w:p w:rsidR="009D5674" w:rsidRDefault="009D5674" w:rsidP="00DC6D01">
      <w:pPr>
        <w:pStyle w:val="Heading2"/>
        <w:rPr>
          <w:b w:val="0"/>
          <w:color w:val="333333"/>
        </w:rPr>
      </w:pPr>
      <w:r>
        <w:t xml:space="preserve">Tabulka: </w:t>
      </w:r>
      <w:r>
        <w:rPr>
          <w:b w:val="0"/>
          <w:color w:val="333333"/>
        </w:rPr>
        <w:t>(porovnani frekvence z tónového generátoru f</w:t>
      </w:r>
      <w:r>
        <w:rPr>
          <w:b w:val="0"/>
          <w:color w:val="333333"/>
          <w:vertAlign w:val="subscript"/>
        </w:rPr>
        <w:t>TG</w:t>
      </w:r>
      <w:r>
        <w:rPr>
          <w:b w:val="0"/>
          <w:color w:val="333333"/>
        </w:rPr>
        <w:t xml:space="preserve"> a  naměřené multimetrem f</w:t>
      </w:r>
      <w:r>
        <w:rPr>
          <w:b w:val="0"/>
          <w:color w:val="333333"/>
          <w:vertAlign w:val="subscript"/>
        </w:rPr>
        <w:t>DMM</w:t>
      </w:r>
      <w:r>
        <w:rPr>
          <w:b w:val="0"/>
          <w:color w:val="333333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1451"/>
        <w:gridCol w:w="1135"/>
        <w:gridCol w:w="1137"/>
        <w:gridCol w:w="1137"/>
        <w:gridCol w:w="1135"/>
        <w:gridCol w:w="1137"/>
        <w:gridCol w:w="1137"/>
      </w:tblGrid>
      <w:tr w:rsidR="009D5674" w:rsidTr="00D70F5A">
        <w:tc>
          <w:tcPr>
            <w:tcW w:w="1636" w:type="pct"/>
            <w:gridSpan w:val="2"/>
          </w:tcPr>
          <w:p w:rsidR="009D5674" w:rsidRDefault="009D5674" w:rsidP="00D70F5A">
            <w:pPr>
              <w:jc w:val="center"/>
            </w:pPr>
            <w:r>
              <w:t>i</w:t>
            </w:r>
          </w:p>
        </w:tc>
        <w:tc>
          <w:tcPr>
            <w:tcW w:w="560" w:type="pct"/>
          </w:tcPr>
          <w:p w:rsidR="009D5674" w:rsidRDefault="009D5674" w:rsidP="00D70F5A">
            <w:pPr>
              <w:jc w:val="center"/>
            </w:pPr>
            <w:r>
              <w:t>1</w:t>
            </w: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  <w:r>
              <w:t>...</w:t>
            </w: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  <w:r>
              <w:t>...</w:t>
            </w:r>
          </w:p>
        </w:tc>
        <w:tc>
          <w:tcPr>
            <w:tcW w:w="560" w:type="pct"/>
          </w:tcPr>
          <w:p w:rsidR="009D5674" w:rsidRDefault="009D5674" w:rsidP="00D70F5A">
            <w:pPr>
              <w:jc w:val="center"/>
            </w:pPr>
            <w:r>
              <w:t>...</w:t>
            </w: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  <w:r>
              <w:t>...</w:t>
            </w: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  <w:r>
              <w:t>10</w:t>
            </w:r>
          </w:p>
        </w:tc>
      </w:tr>
      <w:tr w:rsidR="009D5674" w:rsidTr="00D70F5A">
        <w:tc>
          <w:tcPr>
            <w:tcW w:w="921" w:type="pct"/>
          </w:tcPr>
          <w:p w:rsidR="009D5674" w:rsidRPr="00D70F5A" w:rsidRDefault="009D5674" w:rsidP="00D70F5A">
            <w:pPr>
              <w:jc w:val="center"/>
              <w:rPr>
                <w:vertAlign w:val="subscript"/>
              </w:rPr>
            </w:pPr>
            <w:r>
              <w:t>f</w:t>
            </w:r>
            <w:r w:rsidRPr="00D70F5A">
              <w:rPr>
                <w:vertAlign w:val="subscript"/>
              </w:rPr>
              <w:t>TG</w:t>
            </w:r>
          </w:p>
        </w:tc>
        <w:tc>
          <w:tcPr>
            <w:tcW w:w="715" w:type="pct"/>
          </w:tcPr>
          <w:p w:rsidR="009D5674" w:rsidRDefault="009D5674" w:rsidP="00D70F5A">
            <w:pPr>
              <w:jc w:val="center"/>
            </w:pPr>
            <w:r>
              <w:t>Hz</w:t>
            </w:r>
          </w:p>
        </w:tc>
        <w:tc>
          <w:tcPr>
            <w:tcW w:w="560" w:type="pct"/>
          </w:tcPr>
          <w:p w:rsidR="009D5674" w:rsidRDefault="009D5674" w:rsidP="00D70F5A">
            <w:pPr>
              <w:jc w:val="center"/>
            </w:pP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</w:p>
        </w:tc>
        <w:tc>
          <w:tcPr>
            <w:tcW w:w="560" w:type="pct"/>
          </w:tcPr>
          <w:p w:rsidR="009D5674" w:rsidRDefault="009D5674" w:rsidP="00D70F5A">
            <w:pPr>
              <w:jc w:val="center"/>
            </w:pP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</w:p>
        </w:tc>
      </w:tr>
      <w:tr w:rsidR="009D5674" w:rsidTr="00D70F5A">
        <w:tc>
          <w:tcPr>
            <w:tcW w:w="921" w:type="pct"/>
          </w:tcPr>
          <w:p w:rsidR="009D5674" w:rsidRPr="00D70F5A" w:rsidRDefault="009D5674" w:rsidP="00D70F5A">
            <w:pPr>
              <w:jc w:val="center"/>
              <w:rPr>
                <w:vertAlign w:val="subscript"/>
              </w:rPr>
            </w:pPr>
            <w:r>
              <w:t>f</w:t>
            </w:r>
            <w:r w:rsidRPr="00D70F5A">
              <w:rPr>
                <w:vertAlign w:val="subscript"/>
              </w:rPr>
              <w:t>DMM</w:t>
            </w:r>
          </w:p>
        </w:tc>
        <w:tc>
          <w:tcPr>
            <w:tcW w:w="715" w:type="pct"/>
          </w:tcPr>
          <w:p w:rsidR="009D5674" w:rsidRDefault="009D5674" w:rsidP="00D70F5A">
            <w:pPr>
              <w:jc w:val="center"/>
            </w:pPr>
            <w:r>
              <w:t>Hz</w:t>
            </w:r>
          </w:p>
        </w:tc>
        <w:tc>
          <w:tcPr>
            <w:tcW w:w="560" w:type="pct"/>
          </w:tcPr>
          <w:p w:rsidR="009D5674" w:rsidRDefault="009D5674" w:rsidP="00D70F5A">
            <w:pPr>
              <w:jc w:val="center"/>
            </w:pP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</w:p>
        </w:tc>
        <w:tc>
          <w:tcPr>
            <w:tcW w:w="560" w:type="pct"/>
          </w:tcPr>
          <w:p w:rsidR="009D5674" w:rsidRDefault="009D5674" w:rsidP="00D70F5A">
            <w:pPr>
              <w:jc w:val="center"/>
            </w:pP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</w:p>
        </w:tc>
        <w:tc>
          <w:tcPr>
            <w:tcW w:w="561" w:type="pct"/>
          </w:tcPr>
          <w:p w:rsidR="009D5674" w:rsidRDefault="009D5674" w:rsidP="00D70F5A">
            <w:pPr>
              <w:jc w:val="center"/>
            </w:pPr>
          </w:p>
        </w:tc>
      </w:tr>
    </w:tbl>
    <w:p w:rsidR="009D5674" w:rsidRPr="00B918FB" w:rsidRDefault="009D5674" w:rsidP="00B918FB"/>
    <w:p w:rsidR="009D5674" w:rsidRDefault="009D5674" w:rsidP="004E6494">
      <w:r w:rsidRPr="008C0CAC">
        <w:rPr>
          <w:rStyle w:val="Heading2Char"/>
        </w:rPr>
        <w:t>Ukázky výpočtů:</w:t>
      </w:r>
      <w:r>
        <w:t xml:space="preserve">   (okamžitý výkon: změříme napětí na výstupu = reproduktorech, známe jejich impedanci (manuál), můžeme vypočítat el. proud I = U/Z a pak i výkon P = U.I) </w:t>
      </w:r>
    </w:p>
    <w:p w:rsidR="009D5674" w:rsidRPr="0094132C" w:rsidRDefault="009D5674" w:rsidP="004D5847">
      <w:pPr>
        <w:pStyle w:val="Heading2"/>
        <w:rPr>
          <w:b w:val="0"/>
          <w:color w:val="333333"/>
        </w:rPr>
      </w:pPr>
      <w:r w:rsidRPr="0094132C">
        <w:t xml:space="preserve">Graf:  </w:t>
      </w:r>
      <w:r>
        <w:rPr>
          <w:b w:val="0"/>
          <w:color w:val="333333"/>
        </w:rPr>
        <w:t>V této úloze není</w:t>
      </w:r>
    </w:p>
    <w:p w:rsidR="009D5674" w:rsidRPr="0094132C" w:rsidRDefault="009D5674" w:rsidP="004D5847">
      <w:pPr>
        <w:pStyle w:val="Heading2"/>
        <w:rPr>
          <w:b w:val="0"/>
          <w:color w:val="333333"/>
        </w:rPr>
      </w:pPr>
      <w:r w:rsidRPr="0094132C">
        <w:t xml:space="preserve">Závěr: </w:t>
      </w:r>
      <w:r w:rsidRPr="0094132C">
        <w:rPr>
          <w:b w:val="0"/>
          <w:color w:val="333333"/>
        </w:rPr>
        <w:t>(celkové shrnutí průběhu měření, vyhodnocení výsledků</w:t>
      </w:r>
      <w:r>
        <w:rPr>
          <w:b w:val="0"/>
          <w:color w:val="333333"/>
        </w:rPr>
        <w:t>, ev. zminka o vasem vybaveni doma</w:t>
      </w:r>
      <w:r w:rsidRPr="0094132C">
        <w:rPr>
          <w:b w:val="0"/>
          <w:color w:val="333333"/>
        </w:rPr>
        <w:t xml:space="preserve">) </w:t>
      </w:r>
    </w:p>
    <w:p w:rsidR="009D5674" w:rsidRPr="00580242" w:rsidRDefault="009D5674" w:rsidP="00653F64">
      <w:pPr>
        <w:pStyle w:val="Heading2"/>
        <w:rPr>
          <w:b w:val="0"/>
          <w:color w:val="333333"/>
          <w:lang w:val="en-US"/>
        </w:rPr>
      </w:pPr>
      <w:r w:rsidRPr="006D1C3E">
        <w:t xml:space="preserve">Prohlášení: </w:t>
      </w:r>
      <w:r w:rsidRPr="006D1C3E">
        <w:rPr>
          <w:b w:val="0"/>
          <w:color w:val="333333"/>
        </w:rPr>
        <w:t>Tato práce je mým autorský</w:t>
      </w:r>
      <w:r>
        <w:rPr>
          <w:b w:val="0"/>
          <w:color w:val="333333"/>
          <w:lang w:val="en-US"/>
        </w:rPr>
        <w:t xml:space="preserve">m dílem. Podpis: . . . . . . . . . . . . . . . . . . . </w:t>
      </w:r>
    </w:p>
    <w:p w:rsidR="009D5674" w:rsidRPr="00653F64" w:rsidRDefault="009D5674" w:rsidP="00653F64">
      <w:pPr>
        <w:rPr>
          <w:lang w:val="en-US"/>
        </w:rPr>
      </w:pPr>
    </w:p>
    <w:p w:rsidR="009D5674" w:rsidRDefault="009D5674" w:rsidP="003C0829">
      <w:pPr>
        <w:rPr>
          <w:lang w:val="en-US"/>
        </w:rPr>
      </w:pPr>
    </w:p>
    <w:p w:rsidR="009D5674" w:rsidRDefault="009D5674" w:rsidP="004E6494"/>
    <w:sectPr w:rsidR="009D5674" w:rsidSect="00AF11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EE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AD85A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168B3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1A8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0B87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E1B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02AA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6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66A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EC4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23E7"/>
    <w:multiLevelType w:val="hybridMultilevel"/>
    <w:tmpl w:val="5E1A7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8163B"/>
    <w:multiLevelType w:val="hybridMultilevel"/>
    <w:tmpl w:val="F4A2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8B1F71"/>
    <w:multiLevelType w:val="hybridMultilevel"/>
    <w:tmpl w:val="F02C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1519D"/>
    <w:multiLevelType w:val="hybridMultilevel"/>
    <w:tmpl w:val="81C85B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494"/>
    <w:rsid w:val="00017F6C"/>
    <w:rsid w:val="00021138"/>
    <w:rsid w:val="00043332"/>
    <w:rsid w:val="00065478"/>
    <w:rsid w:val="000A2BC5"/>
    <w:rsid w:val="000D29E5"/>
    <w:rsid w:val="00141274"/>
    <w:rsid w:val="001450DB"/>
    <w:rsid w:val="001453AF"/>
    <w:rsid w:val="00146AD3"/>
    <w:rsid w:val="001673C9"/>
    <w:rsid w:val="0018019C"/>
    <w:rsid w:val="0018474A"/>
    <w:rsid w:val="00187C51"/>
    <w:rsid w:val="001A5494"/>
    <w:rsid w:val="001F08A3"/>
    <w:rsid w:val="001F26F0"/>
    <w:rsid w:val="00204571"/>
    <w:rsid w:val="00233AA4"/>
    <w:rsid w:val="00245497"/>
    <w:rsid w:val="00246F0C"/>
    <w:rsid w:val="00265555"/>
    <w:rsid w:val="002745C2"/>
    <w:rsid w:val="002A5A9B"/>
    <w:rsid w:val="002B0231"/>
    <w:rsid w:val="00314F70"/>
    <w:rsid w:val="0033565A"/>
    <w:rsid w:val="00364814"/>
    <w:rsid w:val="00374590"/>
    <w:rsid w:val="00376559"/>
    <w:rsid w:val="00387F97"/>
    <w:rsid w:val="003916C0"/>
    <w:rsid w:val="003A1286"/>
    <w:rsid w:val="003A2D70"/>
    <w:rsid w:val="003C0829"/>
    <w:rsid w:val="004400A3"/>
    <w:rsid w:val="00472D24"/>
    <w:rsid w:val="00484753"/>
    <w:rsid w:val="004854D5"/>
    <w:rsid w:val="004C68E9"/>
    <w:rsid w:val="004D5847"/>
    <w:rsid w:val="004E59ED"/>
    <w:rsid w:val="004E6494"/>
    <w:rsid w:val="005023F6"/>
    <w:rsid w:val="0050761B"/>
    <w:rsid w:val="005459CC"/>
    <w:rsid w:val="00555C89"/>
    <w:rsid w:val="00580242"/>
    <w:rsid w:val="005A489D"/>
    <w:rsid w:val="005C6D34"/>
    <w:rsid w:val="0062300B"/>
    <w:rsid w:val="00647425"/>
    <w:rsid w:val="00653F64"/>
    <w:rsid w:val="00681AE7"/>
    <w:rsid w:val="00687FC1"/>
    <w:rsid w:val="006D1C3E"/>
    <w:rsid w:val="006D5AB6"/>
    <w:rsid w:val="00715FEA"/>
    <w:rsid w:val="007225FF"/>
    <w:rsid w:val="00754BCD"/>
    <w:rsid w:val="007C3306"/>
    <w:rsid w:val="007E3896"/>
    <w:rsid w:val="008053FA"/>
    <w:rsid w:val="00811390"/>
    <w:rsid w:val="00832EF5"/>
    <w:rsid w:val="0085364F"/>
    <w:rsid w:val="008660EF"/>
    <w:rsid w:val="008C0CAC"/>
    <w:rsid w:val="008D327D"/>
    <w:rsid w:val="009059C3"/>
    <w:rsid w:val="009156BA"/>
    <w:rsid w:val="0092666A"/>
    <w:rsid w:val="0094132C"/>
    <w:rsid w:val="0097708C"/>
    <w:rsid w:val="009D5674"/>
    <w:rsid w:val="009D6D11"/>
    <w:rsid w:val="009F1D9B"/>
    <w:rsid w:val="00A2028D"/>
    <w:rsid w:val="00A25ABC"/>
    <w:rsid w:val="00A4078B"/>
    <w:rsid w:val="00A57ACE"/>
    <w:rsid w:val="00AA70DE"/>
    <w:rsid w:val="00AC0310"/>
    <w:rsid w:val="00AC0AB1"/>
    <w:rsid w:val="00AE1391"/>
    <w:rsid w:val="00AF11A2"/>
    <w:rsid w:val="00AF40F9"/>
    <w:rsid w:val="00B044CC"/>
    <w:rsid w:val="00B25D40"/>
    <w:rsid w:val="00B31394"/>
    <w:rsid w:val="00B76E75"/>
    <w:rsid w:val="00B85F1C"/>
    <w:rsid w:val="00B918FB"/>
    <w:rsid w:val="00BB6CE6"/>
    <w:rsid w:val="00BD2D90"/>
    <w:rsid w:val="00BF1884"/>
    <w:rsid w:val="00C110E7"/>
    <w:rsid w:val="00C17587"/>
    <w:rsid w:val="00C31B90"/>
    <w:rsid w:val="00CE6BA4"/>
    <w:rsid w:val="00D026BD"/>
    <w:rsid w:val="00D4365F"/>
    <w:rsid w:val="00D572A3"/>
    <w:rsid w:val="00D70F5A"/>
    <w:rsid w:val="00D76B9E"/>
    <w:rsid w:val="00DA21EC"/>
    <w:rsid w:val="00DC18C5"/>
    <w:rsid w:val="00DC6D01"/>
    <w:rsid w:val="00DD042F"/>
    <w:rsid w:val="00DD2254"/>
    <w:rsid w:val="00E172E7"/>
    <w:rsid w:val="00E338F3"/>
    <w:rsid w:val="00E90A7A"/>
    <w:rsid w:val="00E90F25"/>
    <w:rsid w:val="00EA2313"/>
    <w:rsid w:val="00EB1CCF"/>
    <w:rsid w:val="00EE61F2"/>
    <w:rsid w:val="00EE7B7B"/>
    <w:rsid w:val="00F055EC"/>
    <w:rsid w:val="00F16C83"/>
    <w:rsid w:val="00F259C8"/>
    <w:rsid w:val="00F56487"/>
    <w:rsid w:val="00FF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6"/>
    <w:pPr>
      <w:spacing w:after="200" w:line="276" w:lineRule="auto"/>
    </w:pPr>
    <w:rPr>
      <w:lang w:val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494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494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494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494"/>
    <w:rPr>
      <w:rFonts w:ascii="Calibri" w:hAnsi="Calibri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4E6494"/>
    <w:pPr>
      <w:ind w:left="720"/>
      <w:contextualSpacing/>
    </w:pPr>
  </w:style>
  <w:style w:type="table" w:styleId="TableGrid">
    <w:name w:val="Table Grid"/>
    <w:basedOn w:val="TableNormal"/>
    <w:uiPriority w:val="99"/>
    <w:rsid w:val="009266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7FC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8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4</Pages>
  <Words>528</Words>
  <Characters>3119</Characters>
  <Application>Microsoft Office Outlook</Application>
  <DocSecurity>0</DocSecurity>
  <Lines>0</Lines>
  <Paragraphs>0</Paragraphs>
  <ScaleCrop>false</ScaleCrop>
  <Company>SPŠCHG Ostrava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Vajda</dc:creator>
  <cp:keywords/>
  <dc:description/>
  <cp:lastModifiedBy>Pavel E.</cp:lastModifiedBy>
  <cp:revision>24</cp:revision>
  <cp:lastPrinted>2014-03-18T07:09:00Z</cp:lastPrinted>
  <dcterms:created xsi:type="dcterms:W3CDTF">2012-12-28T13:01:00Z</dcterms:created>
  <dcterms:modified xsi:type="dcterms:W3CDTF">2014-03-18T07:09:00Z</dcterms:modified>
</cp:coreProperties>
</file>